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97" w:rsidRPr="004C0797" w:rsidRDefault="004C0797" w:rsidP="004C079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</w:pPr>
      <w:r w:rsidRPr="004C0797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Legislación Estatal</w:t>
      </w:r>
    </w:p>
    <w:p w:rsidR="004C0797" w:rsidRPr="004C0797" w:rsidRDefault="004C0797" w:rsidP="004C0797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</w:pPr>
      <w:r w:rsidRPr="004C0797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RÉGIMEN SUSTANTIVO</w:t>
      </w:r>
    </w:p>
    <w:p w:rsidR="004C0797" w:rsidRPr="004C0797" w:rsidRDefault="004C0797" w:rsidP="004C0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Constitución Española de 1978 (art. 34)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Código Civil (arts. 35 a 39)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Ley 50/2002, de 26 de diciembre, de Fundaciones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Real Decreto 1337/2005, de 11 de noviembre, por el que se aprueba el Reglamento de fundaciones de competencia estatal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 xml:space="preserve">Real Decreto 1611/2007, de 7 de diciembre, del Registro de Fundaciones de Competencia Estatal </w:t>
      </w:r>
    </w:p>
    <w:p w:rsidR="004C0797" w:rsidRPr="004C0797" w:rsidRDefault="004C0797" w:rsidP="004C0797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</w:pPr>
      <w:r w:rsidRPr="004C0797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RÉGIMEN FISCAL</w:t>
      </w:r>
    </w:p>
    <w:p w:rsidR="004C0797" w:rsidRPr="004C0797" w:rsidRDefault="004C0797" w:rsidP="004C07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Ley 49/2002, de 23 de diciembre, de Régimen Fiscal de las Entidades sin Fines Lucrativos y de los Incentivos Fiscales al Mecenazgo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  <w:r w:rsidRPr="00A842A5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Real Decreto 1270/2003, de 10 de octubre, para la aplicación del régimen fiscal de las entidades sin fines lucrativos y de los incentivos fiscales al mecenazgo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</w:pPr>
      <w:r w:rsidRPr="004C0797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RÉGIMEN CONTABLE</w:t>
      </w:r>
    </w:p>
    <w:p w:rsidR="004C0797" w:rsidRPr="004C0797" w:rsidRDefault="004C0797" w:rsidP="00A842A5">
      <w:pPr>
        <w:pStyle w:val="Default"/>
        <w:rPr>
          <w:rFonts w:asciiTheme="minorHAnsi" w:eastAsia="Times New Roman" w:hAnsiTheme="minorHAnsi" w:cs="Times New Roman"/>
          <w:color w:val="1F497D" w:themeColor="text2"/>
        </w:rPr>
      </w:pPr>
      <w:r w:rsidRPr="00A842A5">
        <w:rPr>
          <w:rFonts w:asciiTheme="minorHAnsi" w:eastAsia="Times New Roman" w:hAnsiTheme="minorHAnsi" w:cs="Times New Roman"/>
          <w:b/>
          <w:bCs/>
          <w:color w:val="1F497D" w:themeColor="text2"/>
        </w:rPr>
        <w:t>Real Decreto 1491/2011, de 24 de octubre, por el que se aprueban las normas de adaptación del Plan General de Contabilidad a las entidades sin fines lucrativos y el modelo de plan de actuación de las entidades sin fines lucrativos (PGC ESFL 2011)</w:t>
      </w:r>
      <w:r w:rsidRPr="004C0797">
        <w:rPr>
          <w:rFonts w:asciiTheme="minorHAnsi" w:eastAsia="Times New Roman" w:hAnsiTheme="minorHAnsi" w:cs="Times New Roman"/>
          <w:color w:val="1F497D" w:themeColor="text2"/>
        </w:rPr>
        <w:t xml:space="preserve"> </w:t>
      </w:r>
      <w:r w:rsidR="00FB6F60" w:rsidRPr="00A842A5">
        <w:rPr>
          <w:rFonts w:asciiTheme="minorHAnsi" w:eastAsia="Times New Roman" w:hAnsiTheme="minorHAnsi" w:cs="Times New Roman"/>
          <w:color w:val="1F497D" w:themeColor="text2"/>
        </w:rPr>
        <w:t xml:space="preserve">. El Boletín Oficial </w:t>
      </w:r>
      <w:r w:rsidR="00A842A5" w:rsidRPr="00A842A5">
        <w:rPr>
          <w:rFonts w:asciiTheme="minorHAnsi" w:eastAsia="Times New Roman" w:hAnsiTheme="minorHAnsi" w:cs="Times New Roman"/>
          <w:color w:val="1F497D" w:themeColor="text2"/>
        </w:rPr>
        <w:t xml:space="preserve">del Estado </w:t>
      </w:r>
      <w:r w:rsidR="00FB6F60" w:rsidRPr="00A842A5">
        <w:rPr>
          <w:rFonts w:asciiTheme="minorHAnsi" w:hAnsiTheme="minorHAnsi"/>
          <w:bCs/>
          <w:color w:val="1F497D" w:themeColor="text2"/>
        </w:rPr>
        <w:t>Núm. 86 Miércoles 10 de abril de 2013</w:t>
      </w:r>
      <w:r w:rsidR="00A842A5" w:rsidRPr="00A842A5">
        <w:rPr>
          <w:rFonts w:asciiTheme="minorHAnsi" w:hAnsiTheme="minorHAnsi"/>
          <w:bCs/>
          <w:color w:val="1F497D" w:themeColor="text2"/>
        </w:rPr>
        <w:t xml:space="preserve">, publico una </w:t>
      </w:r>
      <w:r w:rsidR="00FB6F60" w:rsidRPr="00A842A5">
        <w:rPr>
          <w:rFonts w:asciiTheme="minorHAnsi" w:hAnsiTheme="minorHAnsi"/>
          <w:color w:val="1F497D" w:themeColor="text2"/>
        </w:rPr>
        <w:t> </w:t>
      </w:r>
      <w:r w:rsidR="00FB6F60" w:rsidRPr="00A842A5">
        <w:rPr>
          <w:rFonts w:asciiTheme="minorHAnsi" w:hAnsiTheme="minorHAnsi"/>
          <w:i/>
          <w:iCs/>
          <w:color w:val="1F497D" w:themeColor="text2"/>
        </w:rPr>
        <w:t>Resolución de 26 de marzo de 2013, del Instituto de Contabilidad y Auditoría de Cuentas, por la que se aprueba el Plan de Contabilidad de las entidades sin fines lucrativos</w:t>
      </w:r>
      <w:r w:rsidR="00FB6F60" w:rsidRPr="00A842A5">
        <w:rPr>
          <w:rFonts w:asciiTheme="minorHAnsi" w:eastAsia="Times New Roman" w:hAnsiTheme="minorHAnsi" w:cs="Times New Roman"/>
          <w:color w:val="1F497D" w:themeColor="text2"/>
        </w:rPr>
        <w:t xml:space="preserve"> </w:t>
      </w:r>
      <w:r w:rsidR="00A842A5" w:rsidRPr="00A842A5">
        <w:rPr>
          <w:rFonts w:asciiTheme="minorHAnsi" w:eastAsia="Times New Roman" w:hAnsiTheme="minorHAnsi" w:cs="Times New Roman"/>
          <w:color w:val="1F497D" w:themeColor="text2"/>
        </w:rPr>
        <w:t>, que viene a ser un texto refundido para una mejor comprensión de las normas.</w:t>
      </w:r>
    </w:p>
    <w:p w:rsidR="004C0797" w:rsidRPr="004C0797" w:rsidRDefault="004C0797" w:rsidP="004C07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Real Decreto 1515/2007, de 16 de noviembre, por el que se aprueba el Plan General de Contabilidad de Pequeñas y Medianas Empresas y los criterios contables específicos para microempresas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(ANEXO PLAN GENERAL DE CONTABILIDAD PARA PYMES)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 xml:space="preserve">Real Decreto 1514/2007, de 16 de noviembre, por el que se aprueba el Plan General de Contabilidad 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(ANEXO PLAN GENERAL DE CONTABILIDAD)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-</w:t>
      </w:r>
    </w:p>
    <w:p w:rsidR="004C0797" w:rsidRPr="004C0797" w:rsidRDefault="004C0797" w:rsidP="004C07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Real Decreto Legislativo 1/2011, de 1 de julio, por el que se aprueba el texto refundido de la Ley de Auditoría de Cuentas. (TRLAC)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s-ES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Real Decreto 1517/2011, de 31 de octubre, por el que se aprueba el Reglamento que desarrolla el texto refundido de la Ley de Auditoría de Cuentas, aprobado por el Real Decreto Legislativo 1/2011, de 1 de julio. (REGLAMENTO AUDITORÍA)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p w:rsidR="004C0797" w:rsidRPr="004C0797" w:rsidRDefault="004C0797" w:rsidP="004C0797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</w:pPr>
      <w:r w:rsidRPr="004C0797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OTRAS</w:t>
      </w:r>
    </w:p>
    <w:p w:rsidR="00593736" w:rsidRPr="00A842A5" w:rsidRDefault="004C0797" w:rsidP="00A842A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1F497D" w:themeColor="text2"/>
          <w:sz w:val="24"/>
          <w:szCs w:val="24"/>
        </w:rPr>
      </w:pPr>
      <w:r w:rsidRPr="00A842A5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Código de Conducta de las entidades sin ánimo de lucro para la realización de inversiones financieras temporales</w:t>
      </w:r>
      <w:r w:rsidRPr="004C0797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  <w:r w:rsidRPr="00A842A5">
        <w:rPr>
          <w:rFonts w:eastAsia="Times New Roman" w:cs="Times New Roman"/>
          <w:color w:val="1F497D" w:themeColor="text2"/>
          <w:sz w:val="24"/>
          <w:szCs w:val="24"/>
          <w:lang w:eastAsia="es-ES"/>
        </w:rPr>
        <w:t xml:space="preserve"> </w:t>
      </w:r>
    </w:p>
    <w:sectPr w:rsidR="00593736" w:rsidRPr="00A842A5" w:rsidSect="00593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8F3"/>
    <w:multiLevelType w:val="multilevel"/>
    <w:tmpl w:val="748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95550"/>
    <w:multiLevelType w:val="multilevel"/>
    <w:tmpl w:val="667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341B4"/>
    <w:multiLevelType w:val="multilevel"/>
    <w:tmpl w:val="596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67F81"/>
    <w:multiLevelType w:val="multilevel"/>
    <w:tmpl w:val="7682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0797"/>
    <w:rsid w:val="004C0797"/>
    <w:rsid w:val="00593736"/>
    <w:rsid w:val="00A842A5"/>
    <w:rsid w:val="00C32694"/>
    <w:rsid w:val="00E83B22"/>
    <w:rsid w:val="00FB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36"/>
  </w:style>
  <w:style w:type="paragraph" w:styleId="Ttulo3">
    <w:name w:val="heading 3"/>
    <w:basedOn w:val="Normal"/>
    <w:link w:val="Ttulo3Car"/>
    <w:uiPriority w:val="9"/>
    <w:qFormat/>
    <w:rsid w:val="004C0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C07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C079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C079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4C079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C0797"/>
    <w:rPr>
      <w:color w:val="0000FF"/>
      <w:u w:val="single"/>
    </w:rPr>
  </w:style>
  <w:style w:type="paragraph" w:customStyle="1" w:styleId="Default">
    <w:name w:val="Default"/>
    <w:basedOn w:val="Normal"/>
    <w:rsid w:val="00FB6F6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Murillo</dc:creator>
  <cp:lastModifiedBy>Enrique Murillo</cp:lastModifiedBy>
  <cp:revision>2</cp:revision>
  <cp:lastPrinted>2013-05-10T10:53:00Z</cp:lastPrinted>
  <dcterms:created xsi:type="dcterms:W3CDTF">2013-05-10T11:08:00Z</dcterms:created>
  <dcterms:modified xsi:type="dcterms:W3CDTF">2013-05-10T11:08:00Z</dcterms:modified>
</cp:coreProperties>
</file>